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Pr="00083C2E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</w:t>
      </w:r>
      <w:r w:rsidRPr="00083C2E">
        <w:rPr>
          <w:rFonts w:ascii="Times New Roman" w:eastAsia="方正小标宋简体" w:hAnsi="Times New Roman" w:hint="eastAsia"/>
          <w:sz w:val="44"/>
        </w:rPr>
        <w:t>质押申请统计（</w:t>
      </w:r>
      <w:r w:rsidRPr="00083C2E">
        <w:rPr>
          <w:rFonts w:ascii="Times New Roman" w:eastAsia="方正小标宋简体" w:hAnsi="Times New Roman"/>
          <w:sz w:val="44"/>
        </w:rPr>
        <w:t>20</w:t>
      </w:r>
      <w:r w:rsidRPr="00083C2E">
        <w:rPr>
          <w:rFonts w:ascii="Times New Roman" w:eastAsia="方正小标宋简体" w:hAnsi="Times New Roman" w:hint="eastAsia"/>
          <w:sz w:val="44"/>
        </w:rPr>
        <w:t>20</w:t>
      </w:r>
      <w:r w:rsidRPr="00083C2E">
        <w:rPr>
          <w:rFonts w:ascii="Times New Roman" w:eastAsia="方正小标宋简体" w:hAnsi="Times New Roman"/>
          <w:sz w:val="44"/>
        </w:rPr>
        <w:t>年</w:t>
      </w:r>
      <w:r w:rsidR="00083C2E" w:rsidRPr="00083C2E">
        <w:rPr>
          <w:rFonts w:ascii="Times New Roman" w:eastAsia="Arial Unicode MS" w:hAnsi="Times New Roman"/>
          <w:sz w:val="44"/>
        </w:rPr>
        <w:t>7</w:t>
      </w:r>
      <w:r w:rsidRPr="00083C2E">
        <w:rPr>
          <w:rFonts w:ascii="Times New Roman" w:eastAsia="方正小标宋简体" w:hAnsi="Times New Roman"/>
          <w:sz w:val="44"/>
        </w:rPr>
        <w:t>月</w:t>
      </w:r>
      <w:r w:rsidRPr="00083C2E">
        <w:rPr>
          <w:rFonts w:ascii="Times New Roman" w:eastAsia="方正小标宋简体" w:hAnsi="Times New Roman" w:hint="eastAsia"/>
          <w:sz w:val="44"/>
        </w:rPr>
        <w:t>份）</w:t>
      </w:r>
      <w:r w:rsidRPr="00083C2E">
        <w:rPr>
          <w:rFonts w:ascii="Times New Roman" w:eastAsia="方正小标宋简体" w:hAnsi="Times New Roman" w:hint="eastAsia"/>
          <w:sz w:val="44"/>
        </w:rPr>
        <w:br/>
      </w:r>
      <w:r w:rsidRPr="00083C2E"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4.8765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7.8075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3.9249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8.9904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0.3200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4.3150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0.3500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1.5021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10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2.5580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5.7480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0.5850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0.8850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0.7520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7.2721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1.1716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4.0046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18.3552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0.0600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1.7862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0.2290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2.6035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2.0000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2.7250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0.4450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0.0800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0.7800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0.4000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0.0800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3.3189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0.1261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3.1344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1.5000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2.2936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0.1300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0.1300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1.4300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0.5960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0.3544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0.9350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0.2320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4.7323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0.5200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35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0.1129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10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59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71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12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4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4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8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lastRenderedPageBreak/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E5C2F" w:rsidRPr="00083C2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Default="000E5C2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19.2631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E5C2F" w:rsidRDefault="000E5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C2F">
              <w:rPr>
                <w:rFonts w:ascii="Times New Roman" w:hAnsi="Times New Roman"/>
                <w:sz w:val="28"/>
                <w:szCs w:val="28"/>
              </w:rPr>
              <w:t xml:space="preserve">91.9176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F" w:rsidRPr="00083C2E" w:rsidRDefault="000E5C2F">
            <w:pPr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83C2E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083C2E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083C2E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6.4041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23.1299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0.4413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23.8439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0.2983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0.8062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0.1877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0.6051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0.0650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0.8380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0.0270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0.6040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0.8000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083C2E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083C2E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2016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年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6</w:t>
            </w:r>
            <w:r w:rsidRPr="00083C2E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083C2E" w:rsidRPr="00083C2E">
        <w:trPr>
          <w:trHeight w:val="567"/>
          <w:jc w:val="center"/>
        </w:trPr>
        <w:tc>
          <w:tcPr>
            <w:tcW w:w="624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083C2E" w:rsidRPr="00083C2E" w:rsidRDefault="00083C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83C2E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7.4234 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 w:rsidR="00083C2E" w:rsidRPr="00083C2E" w:rsidRDefault="0008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50.6288 </w:t>
            </w:r>
          </w:p>
        </w:tc>
        <w:tc>
          <w:tcPr>
            <w:tcW w:w="2536" w:type="dxa"/>
            <w:vAlign w:val="center"/>
          </w:tcPr>
          <w:p w:rsidR="00083C2E" w:rsidRPr="00083C2E" w:rsidRDefault="00083C2E">
            <w:pPr>
              <w:rPr>
                <w:rFonts w:ascii="Times New Roman" w:hAnsi="Times New Roman"/>
                <w:sz w:val="28"/>
                <w:szCs w:val="28"/>
              </w:rPr>
            </w:pPr>
            <w:r w:rsidRPr="00083C2E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AB58C0">
      <w:pPr>
        <w:spacing w:line="560" w:lineRule="exact"/>
        <w:ind w:firstLineChars="350" w:firstLine="980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E7" w:rsidRDefault="005327E7" w:rsidP="00C83C0F">
      <w:r>
        <w:separator/>
      </w:r>
    </w:p>
  </w:endnote>
  <w:endnote w:type="continuationSeparator" w:id="1">
    <w:p w:rsidR="005327E7" w:rsidRDefault="005327E7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D80A24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D80A24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0E5C2F">
          <w:rPr>
            <w:rFonts w:ascii="Times New Roman" w:eastAsia="仿宋_GB2312" w:hAnsi="Times New Roman"/>
            <w:noProof/>
            <w:sz w:val="28"/>
            <w:szCs w:val="28"/>
          </w:rPr>
          <w:t>9</w:t>
        </w:r>
        <w:r w:rsidR="00D80A24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E7" w:rsidRDefault="005327E7" w:rsidP="00C83C0F">
      <w:r>
        <w:separator/>
      </w:r>
    </w:p>
  </w:footnote>
  <w:footnote w:type="continuationSeparator" w:id="1">
    <w:p w:rsidR="005327E7" w:rsidRDefault="005327E7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35A4"/>
    <w:rsid w:val="00023A27"/>
    <w:rsid w:val="0002567C"/>
    <w:rsid w:val="00033F35"/>
    <w:rsid w:val="000625CD"/>
    <w:rsid w:val="00074AA5"/>
    <w:rsid w:val="00083C2E"/>
    <w:rsid w:val="00085357"/>
    <w:rsid w:val="000877C1"/>
    <w:rsid w:val="00091E83"/>
    <w:rsid w:val="000B2FC6"/>
    <w:rsid w:val="000C3A31"/>
    <w:rsid w:val="000C7C5A"/>
    <w:rsid w:val="000D6F52"/>
    <w:rsid w:val="000E5C2F"/>
    <w:rsid w:val="000E65C4"/>
    <w:rsid w:val="000E7B03"/>
    <w:rsid w:val="000F24EF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C1873"/>
    <w:rsid w:val="001E2FD3"/>
    <w:rsid w:val="001E5163"/>
    <w:rsid w:val="001F2D17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0B47"/>
    <w:rsid w:val="00271FD2"/>
    <w:rsid w:val="002858BC"/>
    <w:rsid w:val="002A39DF"/>
    <w:rsid w:val="002A590A"/>
    <w:rsid w:val="002A74F8"/>
    <w:rsid w:val="002D3D8B"/>
    <w:rsid w:val="002D5A05"/>
    <w:rsid w:val="002E4034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50E4E"/>
    <w:rsid w:val="00383957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06248"/>
    <w:rsid w:val="00421097"/>
    <w:rsid w:val="004262B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27E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1B9"/>
    <w:rsid w:val="007B53A9"/>
    <w:rsid w:val="007C172F"/>
    <w:rsid w:val="007C3D92"/>
    <w:rsid w:val="007C5C91"/>
    <w:rsid w:val="007D2D62"/>
    <w:rsid w:val="007E084E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8F72C0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A7763"/>
    <w:rsid w:val="009B1E0D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B58C0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4F73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CF1165"/>
    <w:rsid w:val="00D00EB5"/>
    <w:rsid w:val="00D17F02"/>
    <w:rsid w:val="00D260BC"/>
    <w:rsid w:val="00D336ED"/>
    <w:rsid w:val="00D339EE"/>
    <w:rsid w:val="00D37E45"/>
    <w:rsid w:val="00D45766"/>
    <w:rsid w:val="00D63802"/>
    <w:rsid w:val="00D67B73"/>
    <w:rsid w:val="00D74329"/>
    <w:rsid w:val="00D80A24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3EF1"/>
    <w:rsid w:val="00F34F49"/>
    <w:rsid w:val="00F3552D"/>
    <w:rsid w:val="00F40EC0"/>
    <w:rsid w:val="00F45848"/>
    <w:rsid w:val="00F46EC8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701</Words>
  <Characters>3999</Characters>
  <Application>Microsoft Office Word</Application>
  <DocSecurity>0</DocSecurity>
  <Lines>33</Lines>
  <Paragraphs>9</Paragraphs>
  <ScaleCrop>false</ScaleCrop>
  <Company>Lenovo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lenovo</cp:lastModifiedBy>
  <cp:revision>6</cp:revision>
  <cp:lastPrinted>2020-05-07T07:17:00Z</cp:lastPrinted>
  <dcterms:created xsi:type="dcterms:W3CDTF">2020-07-02T02:41:00Z</dcterms:created>
  <dcterms:modified xsi:type="dcterms:W3CDTF">2020-09-04T06:42:00Z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